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971" w:rsidRDefault="00837155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Информация </w:t>
      </w:r>
      <w:r w:rsidR="005E62F5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>Департамента образования и науки</w:t>
      </w:r>
      <w:r w:rsidR="005E62F5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5E62F5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Ханты-Мансийского автономного округа – Югры</w:t>
      </w:r>
      <w:r w:rsidR="005E62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тему </w:t>
      </w:r>
    </w:p>
    <w:p w:rsidR="00112971" w:rsidRDefault="00837155">
      <w:pPr>
        <w:spacing w:after="0" w:line="240" w:lineRule="auto"/>
        <w:jc w:val="center"/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 xml:space="preserve">«Об обеспечении комплексной безопасности детей </w:t>
      </w:r>
      <w:r w:rsidR="005E62F5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 xml:space="preserve">на объектах социальной сферы» </w:t>
      </w:r>
    </w:p>
    <w:p w:rsidR="00112971" w:rsidRDefault="0011297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обеспечения комплексной безопасности обучающихся на объектах образовательных организаций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Департаментом образования и науки Ханты-Мансийского автономного округа – Югры (далее Департамент)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принимаются различные меры, в том числе:</w:t>
      </w: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Принят ряд органи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зационно-распорядительных документов, регламентирующие организацию 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деятельностью подведомственных образовательных организаций, за реализацией исполнительно-распорядительными органами местного самоуправления, полномочий, в части обеспечения 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мплексной безопасности.</w:t>
      </w: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Проводится ежеквартальный мониторинг состояния оснащенности техническими средствами защиты объектов, наличие и состояние (на соответствие действующему законодательству) организационно-распорядительных документов.</w:t>
      </w: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3. Вопросы обесп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ечения комплексной безопасности, состояние оснащенности техническими средствами защиты, результаты проверок (обследований) на предмет соблюдения санитарно-эпидемиологических, противопожарных, антитеррористических требований рассматриваются:</w:t>
      </w: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заседаниях 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абочей группы Антитеррористической комиссии Ханты-Мансийского автономного округа - Югры по профилактике террористических угроз, минимизации их последствий и обеспечению антитеррористической защищенности объектов   образования, культуры и спорта,</w:t>
      </w:r>
    </w:p>
    <w:p w:rsidR="00112971" w:rsidRDefault="00837155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совместных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совещаниях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участием руководителей муниципальных органов, осуществляющих управление в сфере образования, государственных образовательных организаций.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исполнение постановлений Правительства Российской Федерации от 02.08.2019 № 1006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 07.11.2019 № 14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634 (100%) государственных и муниципальных образовательных организаций прошли процедуру категорирования и разработали паспорта безопасности на 941 объект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(100%)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результатам категорирования объектам присвоены следующие категории опасности: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 категор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ия опасности – 42 объектам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(территориям)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категория опасности – 188 объектам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(территориям)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категория опасности – 424 объектам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(территориям)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 категория опасности – 287 объектам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(территориям)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состоянию на 24.03.2023 паспорта актуализированы на 815 объектах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(100% от потребности)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 результатам ежеквартального мониторинга текущего состояния инженерно-технической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укрепленности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 антитеррористической защищенности объектов (территорий) образоват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ельных организаций, в том числе иных организаций, расположенных в приделах территорий муниципальных образований Ханты-Мансийского автономного округа – Югры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объекты образовательных организаций оснащены: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системами охранной сигнализации 800 объектов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(97% пот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ребности – 819)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системами видеонаблюдения 941 объектов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(100 % от потребности)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системами контроля управления доступом 841 объект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(98% потребности – 856)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тревожной кнопкой с выводом сигнала в дежурную часть полиции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Росгвардии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862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(98% потребность – 875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на территориях где отсутствует дежурная часть полиции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Росгвардия</w:t>
      </w:r>
      <w:proofErr w:type="spellEnd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вывод сигнала осуществляется на пульт единой дежурно-диспетчерской службы 153 объекта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(100 % от потребности)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периметральным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ограждением 902 объектов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(98 % потребность – 913)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отсутствие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периметрального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ограждения обусловлено расположение организаций дополнительного образования в многоквартирных жилых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домах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всех объектах образовательных организаций предусмотрен пропускной режим, устанавливающий порядок доступа на территорию, который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беспечивается частными охранными предприятиями на 862 объектах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(100% потребность – 862)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целях укрепления антитеррористической защищенности объектов образования и устранения выявленных недостатков в 2022 году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из консолидированного бюджета Ханты-Мансийско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го автономного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округа – Югры профинансированы мероприятия на общую сумму 507,6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млн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(в 2020 году – 422,7 млн рублей, в 2021 году – 631,0 млн рублей)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Указанные средства были направлены на проведение работ по оснащению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(модернизации)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системами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видеонаблюдения 142 объекта образовательных организаций;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периметральным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ограждением 12 объектов образовательных организаций;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системами управления контроля доступом 121 объекта образовательных организаций;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системами охранной сигнализации 48 объектов образо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вательных организаций;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стационарными металлоискателями 33 объекта образовательных организаций;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вновь организована охрана на 64 объектах образовательных организаций.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результате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проводимых мероприятий, предусмотренных Планом, в 2022-2023 годах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потребность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оснащении объектов инженерно-техническими средствами защиты, обеспечении охраны частными охранными предприятиями снизилось до 5% от общего количества актов категорирования, 891 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(95%)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актов категорирования соответствующих всем предъявленным требования.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Пр</w:t>
      </w:r>
      <w:r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имечание по установленным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замечаниям: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система оповещения об антитеррористической безопасности (отдельная от системы оповещения о пожаре) – 35 объектов, расположенных в Березовском районе (потребность 3 500,0 тыс. рублей, вопрос финансирования запланирова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 к рассмотрению по итогам исполнения бюджета Березовского района в 1 полугодии 2023 года), 1 объект в Советском районе (предусмотрены средства на 2023 год – 100,0 тыс. рублей);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 система охранной сигнализации – 3 объекта, расположенных в г. Пыть-Ях (преду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смотрены средства на 2023 год – 300,0 тыс. рублей), 1 объект в г. Югорск (предусмотрены средства на 2023 год – 100,0 тыс. рублей);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- модернизация системы видеонаблюдения – 1 объект, расположенный в г. Нягань (предусмотрены средства на 2023 год – 70,0 тыс.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рублей), 1 объект в Советском районе (предусмотрены средства на 2023 год – 45,0 тыс. рублей);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 этом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наличие замечаний на объектах обусловлено тем, что постановлением Правительства Российской Федерации от 05.03.2022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№ 289 внесены изменения, в том числе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части оснащения объектов инженерно-техническими средствами защиты.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Принимая во внимание, что согласно постановлению от 02.08.2019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№ 1006 на устранение замечаний предусмотрено 2 финансовых года,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 xml:space="preserve">в образовательных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организациях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утверждены планы поэтапног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 их устранения.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онтроль за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реализацией мероприятий, предусмотренных планами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осуществляется: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период подготовки к началу нового учебного года особое внимание уделяется обеспечению антитеррористической защищенности объектов образовательных организаций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(разработка и ведение организационных документов (планов действий при установлении уровней террористической опасности, взаимодействия с территориальными органами безопасности, МВД России,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Росгвардии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 порядка действий работников частного охранного предприят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ия при возникновении чрезвычайной ситуации террористического характера, памятки при обнаружении подозрительного предмета, в том числе с признаками, указывающими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 взрывное устройство, при обнаружении подозрительных лиц вблизи образовательной организации),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оснащение (дооснащение) средствами инженерной защиты, инженерно-техническими средствами охраны, организацией физической охраны сотрудниками частных охранных предприятий, обслуживание систем безопасности).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Результаты выполнения мероприятий фиксируются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приемки к началу нового учебного года, утвержденного приказом Департамента от 15.02.2023 № 10-П-347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vertAlign w:val="superscript"/>
          <w:lang w:eastAsia="ru-RU"/>
        </w:rPr>
        <w:footnoteReference w:id="3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Путем проведения анализа недостатков, установленных на объектах образовательных организаций в соответствии с приказом Департамента от 07.10.2021 № 10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-П-1355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vertAlign w:val="superscript"/>
          <w:lang w:eastAsia="ru-RU"/>
        </w:rPr>
        <w:footnoteReference w:id="4"/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анализа в адрес руководителей муниципальных органов, осуществляющих управление в сфере образования, направляются письма, рекомендующие обеспечить устранение выявленных нарушений на объектах муниципальных образовательных организаций.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Проведение анализа информации о планируемых мероприятиях по исполнению предписаний (планов-заданий) надзорных и правоохранительных органов на объектах, в том числе муниципальных образований, осуществляется в соответствии с межведомственным приказом Департ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амента образования и науки автономного округа, Департамента культуры автономного округа, Департамента физической культуры и спорта автономного округа от 15.05.2023 № 1160/01-09/163</w:t>
      </w:r>
      <w:r>
        <w:rPr>
          <w:rStyle w:val="af5"/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ootnoteReference w:id="5"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приказами</w:t>
      </w:r>
      <w:r>
        <w:rPr>
          <w:rStyle w:val="af5"/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footnoteReference w:id="6"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письмом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Департамента образования и науки автономного округа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(от 04.05.2023</w:t>
      </w:r>
      <w:proofErr w:type="gramEnd"/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№ </w:t>
      </w:r>
      <w:proofErr w:type="gramStart"/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10-Исх-4922)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результатам анализа установлено, что в ходе подготовки образовательных организаций к началу нового учебного года в 136 образовательных организациях планируется обеспечить устранение требований противопожарной 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(на объектах 13 образовательных организаций)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санитарно-эпидемиологической (на объектах 82 образовательных организаций), антитеррористической безопасности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(на объектах 41 образовательной организации)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 устранение указанных нарушений в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бюджетах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муниципал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ьных образований предусмотрены средства в объеме 862 704,5 тыс. рублей.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Также, в целях обеспечения комплексной безопасности в ходе заседания рабочей группы Антитеррористической комиссии автономного округа по профилактике террористических угроз, минимизации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их последствий и обеспечению антитеррористической защищенности объектов образования, культуры и спорта заслушаны должностные лица органов местного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самоуправления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территориях которых функционируют объекты образования, культуры и спорта,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незавершившие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роприятия по обеспечению ант</w:t>
      </w:r>
      <w:r w:rsidR="005E62F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итеррористической защищенности </w:t>
      </w:r>
      <w:r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(протокол от 18.05.2023 № 2)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112971" w:rsidRDefault="00112971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 соответствии с Федеральным законом от 29 декабря 2010 года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№ 436-ФЗ «О защите детей от информации, причиняющей вред их здоровью и развитию» Департаментом образова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ния и науки автономного округа разработана система мер, обеспечивающих защиту детей от информации, наносящей вред их здоровью, нравственному и духовному развитию. 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На постоянной основе осуществляются мероприятия в формате тематических классных часов,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инфоф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орумов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квестов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, дискуссионных площадок, направленных на  формирование осознанного поведения в сети «Интернет» выявление информационных ресурсов в сети Интернет, содержащих информацию, распространяемую с нарушением требований законодательства Российской Фе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дерации в сети Интернет, в том числе обеспечивающие создание безопасной детской информационной среды.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 целях исполнения Федерального закона Российской Федерации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от 27 июля 2006 года № 149-ФЗ «Об информации, информационных технологиях и о защите информац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ии» Департаментом образования и науки автономного округа утвержден приказ от 28.10.2022 № 10-П-2411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lastRenderedPageBreak/>
        <w:t xml:space="preserve">«О соблюдении требований к защите информационной безопасности участников образовательной среды». 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Настоящим приказом предусмотрено: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обеспечение образовател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ьного процесса с применением информационно-коммуникационной среды и дистанционных технологий обучения и использованием интегрированной в региональную цифровую образовательную платформу «ГИС Образование Югры» информационно-коммуникационной образовательной п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латформы «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Сферум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»;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обеспечение коммуникаций между участниками образовательного процесса с использованием социальных сетей, разрешенных на территории Российской Федерации (VK Мессенджер,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Сферум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);</w:t>
      </w:r>
    </w:p>
    <w:p w:rsidR="00112971" w:rsidRDefault="00837155">
      <w:pPr>
        <w:pStyle w:val="af6"/>
        <w:tabs>
          <w:tab w:val="left" w:pos="6693"/>
        </w:tabs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обеспечение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официальными сайтами образовательных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организаций на предмет публикаций ложной и заведомо ложной информации (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фэйки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), а также на предмет их взлома.</w:t>
      </w:r>
    </w:p>
    <w:p w:rsidR="00112971" w:rsidRDefault="00837155">
      <w:pPr>
        <w:pStyle w:val="af6"/>
        <w:tabs>
          <w:tab w:val="left" w:pos="6693"/>
        </w:tabs>
        <w:spacing w:line="276" w:lineRule="auto"/>
        <w:ind w:firstLine="709"/>
        <w:jc w:val="both"/>
        <w:rPr>
          <w:rFonts w:ascii="Times New Roman" w:eastAsia="Times New Roman" w:hAnsi="Times New Roman" w:cs="system-u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Для удобного образовательного процесса и комфортной коммуникации учеников, учителей и родителей в 2020 году была создана платформа «</w:t>
      </w:r>
      <w:proofErr w:type="spell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».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Интегр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 xml:space="preserve">ация региональной цифровой образовательной платформы «ГИС Образование Югры» с образовательной платформой 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» 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br/>
        <w:t>в 2022 году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 xml:space="preserve"> позволило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 xml:space="preserve">региону обеспечить проведение уроков с применением дистанционных технологий, обеспечить коммуникации учителей, обучающихся и родителей по защищенным каналам связи, исключив использование различных мессенджеров. Информация о завершении интеграции платформы 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» с сервисами электронных дневников и журналов в автономном округе размещена на сайте Департамента.</w:t>
      </w:r>
    </w:p>
    <w:p w:rsidR="00112971" w:rsidRDefault="00837155">
      <w:pPr>
        <w:pStyle w:val="af6"/>
        <w:tabs>
          <w:tab w:val="left" w:pos="6693"/>
        </w:tabs>
        <w:spacing w:line="276" w:lineRule="auto"/>
        <w:ind w:firstLine="851"/>
        <w:jc w:val="both"/>
        <w:rPr>
          <w:rFonts w:ascii="Times New Roman" w:eastAsia="Times New Roman" w:hAnsi="Times New Roman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На текущую дату автономный округ – один из лидеров 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br/>
        <w:t xml:space="preserve">по ее использованию. </w:t>
      </w:r>
      <w:proofErr w:type="gram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Платформа «</w:t>
      </w:r>
      <w:proofErr w:type="spell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» использовалась как площадка для коммуникаций в формате </w:t>
      </w:r>
      <w:proofErr w:type="spellStart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ви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деоуроков</w:t>
      </w:r>
      <w:proofErr w:type="spell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, трансляций, групповых занятий, посредством которой во время актированных дней и заболеваний гриппом или ОРВИ были организованы дистанционные занятия в общеобразовательных организациях автономного округа.</w:t>
      </w:r>
      <w:proofErr w:type="gramEnd"/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 Пре</w:t>
      </w:r>
      <w:r w:rsidR="005E62F5"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сс-релиз о пленарной дискуссии 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I Межд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>ународной конференции «Цифровая трансформация отрасли «Образования», которая прошл</w:t>
      </w:r>
      <w:r w:rsidR="005E62F5"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а 7 июня 2023 года на площадке </w:t>
      </w:r>
      <w:bookmarkStart w:id="0" w:name="_GoBack"/>
      <w:bookmarkEnd w:id="0"/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XIV Международного IT-Форума с участием стран БРИКС и ШОС, размещен на сайтах Департамента информационных технологий и цифрового развития авто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номного округа.</w:t>
      </w:r>
    </w:p>
    <w:p w:rsidR="00112971" w:rsidRDefault="00837155">
      <w:pPr>
        <w:pStyle w:val="af6"/>
        <w:tabs>
          <w:tab w:val="left" w:pos="6693"/>
        </w:tabs>
        <w:spacing w:line="276" w:lineRule="auto"/>
        <w:ind w:firstLine="386"/>
        <w:jc w:val="both"/>
        <w:rPr>
          <w:rFonts w:ascii="Times New Roman" w:eastAsia="Times New Roman" w:hAnsi="Times New Roman" w:cs="system-ui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Также, 7 июня 2023 года на площадке XIV Международного IT-Форума с участием стран БРИКС и ШОС состоялась пленарная дискуссия с участием детских омбудсменов Уральского федерального округа. Эксперты обсудили вопросы безопасности детей и подро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стков в интернете и то, как спасти детей от негативного влияния в цифровой среде. Дискуссию вел молодежный цифровой омбудсмен, член Экспертного совета Комитета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Государственной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 xml:space="preserve">Думы по молодежной политике Дмитрий Гуляев. Он представил доклад об основных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киб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еругрозах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которыми дети и подростки сталкиваются в интернете, а также рассказал о ресурсах, на которые могут обратиться дети или их родители, оказавшиеся в подобных ситуациях. Пресс-релиз размещен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на сайтах Департамента информационных технологий и цифро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вого развития автономного округа и</w:t>
      </w:r>
      <w:r>
        <w:rPr>
          <w:rFonts w:ascii="Times New Roman" w:eastAsia="Times New Roman" w:hAnsi="Times New Roman" w:cs="system-ui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IT-Форума.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Приказом Департамента образования автономного округа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от 22 июля 2019 года № 950 утверждена распределительная модель комплексной безопасности детей и подростков, включая компоненты информационной безопасности и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антитеррористической защищенности объектов образования автономного округа.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Департаментом образования и науки автономного округа совместно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с Департаментом информационных технологий и цифрового развития автономного округа разработаны методические рекоменда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ции для родителей по обеспечению контролируемого и безопасного доступа ребенка в сеть Интернет, утверждены Правила подключения общеобразовательных организаций к системе контент-фильтрации.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В целях недопущения неправомерного получения злоумышленниками лично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й информации ребенка и его родителей (законных представителей),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 xml:space="preserve">в образовательных организациях с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несовершеннолетними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обучающимися регулярно проводится разъяснительная работа в формате классных часов, родительских собраний, информационного сообщения, разме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щенного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на открытых цифровых ресурсах в личном кабинете региональной цифровой образовательной платформы «ГИС Образование Югры».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Также разъяснительная работа проводится для представителей руководящего и педагогического состава образовательных организаций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в ходе проведения окружных совещаний при Департаменте образования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 xml:space="preserve">автономного округа. Данные мероприятия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повышают правовую грамотность педагогического состава и проводятся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с участием представителей Управления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Роскомнадзора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С целью информирования детей и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родителей на официальных сайтах образовательных организаций размещён баннер со ссылкой на портал «Персональные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данные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.Д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ети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».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На сайте Департамента образования автономного округа создан раздел «Безопасный интернет», где размещена актуальная информация в ча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сти образовательных информационных ресурсов, а также видеоролики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 xml:space="preserve">о безопасном поведении в сети. 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в образовательных организациях с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привлечением представителей социально-психологических служб и органов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правопорядка проводились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разноформатные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мероприятия</w:t>
      </w:r>
      <w:r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вопросам противодействия идеологии терроризма и экстремизма.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Кроме того, уделяется внимание проведению собраний и бесед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родит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елями, законными представителями, на которых обсуждались вопросы об административной и уголовной ответственности за совершение правонарушений и преступлений экстремистской и террористической направленности.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Всего в 2022 году в образовательных организациях автономного округа проведено 2846 вышеуказанных мероприятий, с участием 227 340 человек.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Наиболее значимыми мероприятиями по профилактике экстремистской и террористической идеологии являлись: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проведение 2 об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учающих семинаров на тему: «Профилактическая работа с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по недопущению совершения правонарушений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br/>
        <w:t xml:space="preserve">и преступлений, связанных с насилием и применением оружия, вовлечения несовершеннолетних и молодежи в деструктивные группы, к участию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br/>
        <w:t>в протестных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акциях, а также предупреждению противоправного воздействия в сети Интернет». Охват участников составил около 1 800 человек;</w:t>
      </w:r>
    </w:p>
    <w:p w:rsidR="00112971" w:rsidRDefault="00837155">
      <w:pPr>
        <w:pStyle w:val="af6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18 семинаров по профилактике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радикализации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молодежной среды,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br/>
        <w:t xml:space="preserve">в том числе с молодыми людьми, состоящими на профилактическом учете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 правоохранительных органах в связи с причастностью к совершению правонарушений. Количество участников – 697 человек;</w:t>
      </w:r>
    </w:p>
    <w:p w:rsidR="00112971" w:rsidRDefault="00837155">
      <w:pPr>
        <w:pStyle w:val="af6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10 обучающих семинаров по обучению молодых людей безопасному поведению в сети Интернет. Количество участников – 592 человека;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посвященные дню солидарности в борьбе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 терроризмом. Охват участников – 262 728 человек;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 другие мероприятия.</w:t>
      </w:r>
    </w:p>
    <w:p w:rsidR="00112971" w:rsidRDefault="00837155">
      <w:pPr>
        <w:pStyle w:val="af6"/>
        <w:widowControl w:val="0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Кроме того, во взаимодействии с представителями регионального отделения школы детской безопасности «Стоп Угроза» на тему профилактики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Буллинг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Кибербуллинга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проведено 4 мероприятия для родителей и педагогов. Количество участников составило 145 человек.</w:t>
      </w:r>
    </w:p>
    <w:p w:rsidR="00112971" w:rsidRDefault="00837155">
      <w:pPr>
        <w:widowControl w:val="0"/>
        <w:tabs>
          <w:tab w:val="left" w:pos="-1260"/>
          <w:tab w:val="left" w:pos="5220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условиях проведения специальной военной операции на Украине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образовательных организациях проводились уроки и лекции по тематике текущих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сторических событий, такие как «Герои нашего времени», «Крымская весна»,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Фейковые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новости» и т.п. Кроме того, в ходе проведения занятий по направлениям «Социология» и «Политология» в образовательных организации среднего профессионального и высшего образов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ания проводились разъяснительные лекции.</w:t>
      </w:r>
      <w:proofErr w:type="gramEnd"/>
    </w:p>
    <w:p w:rsidR="00112971" w:rsidRDefault="00837155">
      <w:pPr>
        <w:widowControl w:val="0"/>
        <w:tabs>
          <w:tab w:val="left" w:pos="-1260"/>
          <w:tab w:val="left" w:pos="5220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минимизации факторов риска использования молодежи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противоправных действиях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Кибердружинами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автономного округа осуществляется мониторинг сети Интернет на предмет выявления материалов с признаками пропаганды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террористической, экстремистской и иной деструктивной направленности.</w:t>
      </w:r>
    </w:p>
    <w:p w:rsidR="00112971" w:rsidRDefault="00837155">
      <w:pPr>
        <w:widowControl w:val="0"/>
        <w:tabs>
          <w:tab w:val="left" w:pos="-1260"/>
          <w:tab w:val="left" w:pos="5220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Кибердружинами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автономного округа проверено 27 430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интернет-источников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выявлено 4 032 сайта деструктивной направленности, из них 2244 интернет-страницы заблокированы уполном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оченными органами.</w:t>
      </w:r>
    </w:p>
    <w:p w:rsidR="00112971" w:rsidRDefault="00837155">
      <w:pPr>
        <w:widowControl w:val="0"/>
        <w:tabs>
          <w:tab w:val="left" w:pos="-1260"/>
          <w:tab w:val="left" w:pos="5220"/>
        </w:tabs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текущий период 2023 года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Кибердружинами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автономного округа проверено 11 607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интернет-источников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выявлено 1 022 сайта деструктивной направленности, из них 386 интернет-страниц заблокировано уполномоченными органами.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Кроме того, в соо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тветствии с приказом Департамента образования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автономного округа от 18 декабря 2015 года № 1683 «О проверочных мероприятиях по исключению доступа обучающихся образовательных организаций к сайтам экстремистской направленности и иным ресурсам сети Интернет,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несовместимым с образовательным процессом», муниципальными органами, осуществляющими управление в сфере образования, профессиональными образовательными организациями и образовательными организациями высшего образования ежеквартально проводится проверка 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br/>
        <w:t>н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а предмет эффективности мер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по исключению доступа обучающихся к ресурсам информационно-телекоммуникационной сети «Интернет», несовместимым с образовательным процессом.</w:t>
      </w:r>
      <w:proofErr w:type="gramEnd"/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 xml:space="preserve"> По итогам проверок за период 2022-2023 учебного года нарушений не выявлено. Сайты, несов</w:t>
      </w: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eastAsia="ru-RU"/>
        </w:rPr>
        <w:t>местимые с образовательным процессом, заблокированы.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апреле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ноябре 2022 года в организациях высшего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профессионального образования проведено социально-психологическое тестирование студентов, направленное на выявление и профилактику экстремистских и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еррористических проявлений на ранних стадиях.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Справочно: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Опрошено около 18 324 студента, склонностей к экстремистским проявлениям среди студентов не выявлено, личную негативную оценку </w:t>
      </w:r>
      <w:proofErr w:type="spell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этноконфессиональных</w:t>
      </w:r>
      <w:proofErr w:type="spell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отношений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vertAlign w:val="superscript"/>
        </w:rPr>
        <w:footnoteReference w:id="8"/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высказали 74 обучающихся (0,4 % от общего количества, принявших участие в </w:t>
      </w:r>
      <w:proofErr w:type="gramStart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опросе</w:t>
      </w:r>
      <w:proofErr w:type="gramEnd"/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), социальный пессимизм отмечается в ответах 198 студентов (1,08 % от общего количества, принявших участие в опросе).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обработки и анализа результатов тестирован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наблюдается положительная динамика. По сравнению с прошлым годом процент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склонных к социальному пессимизму увеличился незначительно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(с 0,34 % до 0,40 %)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Показатели по личной негативной оценке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этноконфессиональных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отношений снизились с 1,5 %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1,08 %.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 декабря 2022 года в структуре Сургутского государственного педагогического университета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создан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Центр информационной безопасности обучающихся.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Основной задачей Центра является обеспечение мониторинга сети Интернет на предмет выявления противоп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равных источников информации деструктивного характера.</w:t>
      </w:r>
    </w:p>
    <w:p w:rsidR="00112971" w:rsidRDefault="00112971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Департаментом образования и науки автономного округа, образовательными организациями автономного округа проводится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комплекс мероприятий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по профилактике подростковой преступности, а также преступлений,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совершаемых в отношении них.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Профилактическая работа проводится с участием субъектов профилактики, входящих в систему профилактики и безнадзорности правонарушений несовершеннолетних.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 проведении профилактической работы используются различные формы и методы: лекции, беседы, круглые столы, викторины,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квесты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видеоуроки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, диспуты, направленные на формирование законопослушного поведения.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В образовательных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организациях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автономного округа пр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офилактических мероприятий, направленных на повышение правовой грамотности, правовой осведомленности, формирование законопослушного поведения проведено более 5000.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Департамента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образования и науки автономного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20.12.2022 № 10-п-2932 утв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ержден порядок действий при выявлении деструктивных проявлений и резонансных случаев (происшествий)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ar-SA"/>
        </w:rPr>
        <w:t>в образовательных организациях автономного округа.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Департамента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образования и науки автономного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30.12.20022 № 10-п-3082 утверждено Поло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жение о мобильных группах экстренной (неотложной) помощи несовершеннолетним, находящимся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условиях кризисных и чрезвычайных ситуаций, обеспечивающее защиту прав и законных интересов несовершеннолетних, устранение причин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 условий, способствующих создани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 психотравмирующих и кризисных ситуаций</w:t>
      </w:r>
      <w:r>
        <w:rPr>
          <w:rFonts w:ascii="Times New Roman" w:eastAsia="SimSu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Совместный план Департамента здравоохранения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 Департамента «Об утверждении Комплексного плана мероприятий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по профилактике инфекций, передающихся половым путем, среди обучающихся в образователь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ных организациях Ханты-Мансийского автономного округа – Югры на 2022-2024 годы» дополнен циклом мероприятий по профилактике ранних половых связей, половому воспитанию и предупреждению ранней беременности несовершеннолетних.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 целью фиксации выявленных случ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аев жесткого обращения с детьми, профилактики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», создания условий по обеспечению безопасности участников образовательного процесса в образовательных организациях, предупреждения конфликтных ситуаций и передачи информации в органы системы профилакт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ики на ГИС «Образование Югры» разработан дополнительный модуль «Осторожно,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буллинг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который позволяет родителям и обучающимся из личных кабинетов отправлять информацию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 фактах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буллинга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», насилия в отношении детей в образовательной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и за её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ределами. Информация напрямую поступает внештатному психологу автономного округа для оперативной организации работы со всеми службами системы профилактики автономного округа.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Созданы мобильные группы экстренной (неотложной) психологической помощи несоверш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еннолетним во всех муниципальных образованиях автономного округа.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Утверждена дорожная карта по предупреждению совершения преступлений против половой неприкосновенности несовершеннолетних, а также преступлений, совершаемых несовершеннолетними на территории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автономного округа в 2023 году.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Приказом Департамента от 25.05.2020 № 730 утвержден порядок осуществления работы по выявлению и учету несовершеннолетних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с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девиантным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поведением, организации проведения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их психолого-педагогического сопровождения и межведом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ственного информирования уполномоченных органов и учреждений.</w:t>
      </w:r>
    </w:p>
    <w:p w:rsidR="00112971" w:rsidRDefault="00112971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Работа школьной медиации регулируется рекомендациями Министерства образования и науки Российской Федерации</w:t>
      </w:r>
      <w:r>
        <w:rPr>
          <w:rStyle w:val="af5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hi-IN" w:bidi="hi-IN"/>
        </w:rPr>
        <w:t>Медиация –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 xml:space="preserve"> основной инструмент, позволяющий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>профилактировать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 xml:space="preserve"> уровень агрессивных вза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>имоотношений, снизить уровень подростковой преступности.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Во всех муниципальных образованиях Ханты-Мансийского автономного округа – Югры созданы службы школьной медиации и (или) службы примирения.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Службы школьной медиации предназначены для создания условий,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в которых конфликтующие стороны могли бы договариваться о приемлемых для них вариантах разрешения проблем. Основная задача – сделать так, чтобы максимальное число конфликтов разрешалось восстановительным способом, позволяющим избавиться от обиды, ненавис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ти и других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 xml:space="preserve">негативных переживаний, самостоятельно разрешить ситуацию (возместить ущерб, договориться, извиниться, простить), избежать повторения подобного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 xml:space="preserve">в будущем.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Развитие Службы основывается на принципах добровольности и равных возможностей. В деяте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льности Службы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задействуются все участники образовательных отношений и все участники образовательных отношений могут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обратиться в Службу за помощью.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работе Службы задействованы координатор (руководитель), специалисты, а также обучающиеся из "групп равных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специалистов в службах медиации и (или) в службах примирения в образовательных организациях автономного округа составляет 927 человек, численность обучающихся (юных медиаторов/волонтеров служб медиации и (или) служб примирения) в общеобразова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тельных организациях 423. 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196 специалистов и педагогов, а также 190 юных медиаторов/волонтеров, задействованных в работе Службы, повысили квалификацию по основам медиации или примирения.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 xml:space="preserve">В 2022 – 2023 учебном году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начатых восстановительных прог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рамм/медиативных процедур с учащимися в образовательных организациях составляет 1175. </w:t>
      </w:r>
      <w:proofErr w:type="gramEnd"/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образовательных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начаты 504 медиативных процедуры и из них 496 завершены положительно, в 8 случаях участники на стадии рассмотрения отказались от продолжен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ия процедуры медиации. 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>тдельного внимания требуют вопросы, касающиеся оказания персонифицированного сопровождения несовершеннолетних, совершивших противоправные действия, а также несовершеннолетних, в отношении которых указанные действия совершены. Таких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hi-IN" w:bidi="hi-IN"/>
        </w:rPr>
        <w:t xml:space="preserve"> дел рассмотрено 671.</w:t>
      </w:r>
    </w:p>
    <w:p w:rsidR="00112971" w:rsidRDefault="00837155">
      <w:pPr>
        <w:pStyle w:val="af6"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Участие подростков в деятельности Службы создает условия для реализации их социальных, лидерских потребностей и содействует успешной социализации. Владение процедурами медиация помогает подросткам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договариваться и исправить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ошибки, во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сстанавливать отношения и самостоятельно компенсировать нанесенный ущерб, способствует повышению самооценки и самоуважения подростков, росту их способности к самоконтролю и пониманию своей ответственности.</w:t>
      </w:r>
    </w:p>
    <w:p w:rsidR="00112971" w:rsidRDefault="00112971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Югре во всех школы созданы условия для обеспече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качественным и безопасным питанием, в том числе для детей с особыми пищевыми потребностями (разработаны специализированные меню, методические рекомендации по замене отдельных видов пищевой продукции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и(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или) изменением технологии приготовления). Принят 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елый ряд законодательных и нормативных правовых актов. 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каждой школе ведётся целенаправленная работа по формированию пищевого поведения и культуры здорового питания учеников и их родителей. Разработаны программы по формированию культуры здорового питания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открыты «горячие линии» по вопросам питания, осуществляется общественный и производственный контроль.</w:t>
      </w:r>
    </w:p>
    <w:p w:rsidR="00112971" w:rsidRDefault="00837155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Полностью бесплатным одно-или двухразовым питанием сегодня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Югре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обеспечены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60% школьников. В 2023 году в консолидированном бюджете на обеспечение бесплатным питанием школьников предусмотрено 5 977,0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рублей, в том числе:</w:t>
      </w:r>
    </w:p>
    <w:p w:rsidR="00112971" w:rsidRDefault="00837155">
      <w:pPr>
        <w:widowControl w:val="0"/>
        <w:spacing w:after="0" w:line="276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федерального бюджета – 658,7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112971" w:rsidRDefault="00837155">
      <w:pPr>
        <w:widowControl w:val="0"/>
        <w:spacing w:after="0" w:line="276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бюджета автономного округа – 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 120,1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рублей;</w:t>
      </w:r>
    </w:p>
    <w:p w:rsidR="00112971" w:rsidRDefault="00837155">
      <w:pPr>
        <w:widowControl w:val="0"/>
        <w:spacing w:after="0" w:line="276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местных бюджетов – 198,2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(софинансирование).</w:t>
      </w:r>
    </w:p>
    <w:p w:rsidR="00112971" w:rsidRDefault="00837155">
      <w:pPr>
        <w:widowControl w:val="0"/>
        <w:spacing w:after="0" w:line="276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на питание обучающихся 5-11 классов, не отнесенных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льготным категориям, в местных бюджетах предусмотрено свыше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700,0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млн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детских садах автономно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округа организовано четырёхразовое горячее питание по единому примерному сезонному 10-тидневному цикличному меню, разработанному отдельно для возрастных категорий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2 месяцев до 1 года, от 1 года до 3 лет и с 3 до 7 лет.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Питание в детских садах органи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зовано за счёт средств родительской платы. 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Размер расходов на обеспечение питанием воспитанников льготных категорий составляет 239 рублей в день на одного ребёнка. Средства выделяются из муниципального бюджета.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Решение вопросов качественного и здорового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итания обучающихся, пропаганда основ здорового питания организовывается во взаимодействии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общеобразовательной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организации с общешкольным родительским комитетом, управляющими советами и общественными организациями.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подготовке к проведению конкурсных про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цедур (аукционов) по поставке продуктов и (или) организации питания обучающимся общеобразовательной организацией или лицом, ответственным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проведением данных процедур, определяются виды и количественные объемы необходимых продуктов, а также предъявляются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технические характеристики качества каждого наименования продукта. Данные характеристики учитываются и при определении прямых поставок продукции (без конкурсных процедур).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Общественный контроль за организацией питания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общеобразовательных организациях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существляется представителями муниципальных органов, осуществляющих управление в сфере образования, и родительской общественностью в рамках «Родительского контроля» в соответствии с методическими рекомендациями по организации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родительского контроля за детс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ким питанием в образовательных организациях Ханты-Мансийского автономного округа – Югры.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Координирующую роль за организацией питания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в общеобразовательных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 «Штаб родительского общественного контроля» Общественного совета при Депар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таменте образования и науки автономного округа.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Цифровая система организации, учета и контроля качества питания обучающихся разработана Департаментом образования и науки Ханты-Мансийского автономного округа – Югры совместно с Департаментом информационных 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ехнологий и цифрового развития Ханты-Мансийского автономного округа – Югры и реализуется на территории Ханты-Мансийского автономного округа – Югры.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Данная система была интегрирована в Цифровую образовательную платформу Ханты-Мансийского автономного округа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Югры «ГИС «Образование Югры» и представлена в качестве модуля «Школьное питание». Целью системы является –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цифровизация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процесса питания учащихся в общеобразовательных организациях для повышения качества и безопасности.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целях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обеспечения безопасности п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ри организации перевозки детей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на территории округа утвержден межведомственный приказ</w:t>
      </w:r>
      <w:r>
        <w:rPr>
          <w:rStyle w:val="af5"/>
          <w:color w:val="000000" w:themeColor="text1"/>
          <w:lang w:eastAsia="ru-RU"/>
        </w:rPr>
        <w:footnoteReference w:id="10"/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которым определены правила организованной перевозки групп детей.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color w:val="000000" w:themeColor="text1"/>
        </w:rPr>
      </w:pP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Все специализированные автотранспортные средства, задействованные в организованных перевозках групп де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тей, соответствуют по назначению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и конструкции техническим требованиям к перевозкам пассажиров, а также имеют все необходимые допуски к участию в дорожном движении, оснащены в установленном порядке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тахографами</w:t>
      </w:r>
      <w:proofErr w:type="spell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спутниковой навигацией ГЛОНАСС, оборудованы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ремнями безопасности, укомплектованы медицинскими аптечками, опознавательными знаками «Перевозка детей».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соответствии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 требованиями Межведомственного приказа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в установленном порядке подается уведомление об организованной перевозке групп детей.</w:t>
      </w:r>
    </w:p>
    <w:p w:rsidR="00112971" w:rsidRDefault="00112971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Особое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внимание уделяется обеспечению правопорядка и безопасности объектов отдыха и оздоровления детей. 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Постановлением Губернатора автономного округа утвержден состав межведомственной комиссии по вопросам организации отдыха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и оздоровления детей в Ханты-Мансийс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 автономном округе –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Югре 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br/>
        <w:t>(далее – Комиссия)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Комиссия осуществляет свою деятельность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в соответствии с планом работы, утвержденным председателем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межведомственной комиссии по вопросам организации отдыха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оздоровления детей в автономном округе. В текущем году проведено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2 плановых заседания межведомственной комиссии по организации отдыха детей и их оздоровления, на которых рассмотрены вопросы организации детской оздоровительной кампании, в том числе вопро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сы обеспечения комплексной безопасности отдыха, оздоровления и занятости детей.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период летней кампании 2023 года осуществляют деятельность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560 организаций отдыха детей и их оздоровления, из которых 100 организаций дополнительного образования, 29 организ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аций, находящихся в ведомстве физической культуры и спорта, 25 организаций, входящих в ведомства образования, 24 учреждения, входящих в ведомства культуры,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22 негосударственные организации дополнительного образования.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Также в летний период в автономном ок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руге 198 организаций обеспечивают досуг и занятость несовершеннолетних, из которых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56 организаций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дополнительного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образования, 58 организаций физической культуры и спорта, 84 организации культуры, в том числе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6 негосударственных.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Имеющиеся в автономном 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круге стационарные лагеря прошли категорирование, имеют в наличии паспорта безопасности в соответствии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с постановлением Правительства Российской Федерации от 14 мая 2021 года № 732.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Постановлением Правительства Ханты-Мансийского автономного округа Югры от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 декабря 2021 года № 634-п «О мерах по реализации государственной программы Ханты-Мансийского автономного округа Югры «Развитие образования» утвержден «Комплекс мер по организации отдыха и оздоровления детей, имеющих место жительства в Ханты-Мансийском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автономном округе – Югре, на 2023 год».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Приняты меры по профилактике и предупреждению случаев терроризма и экстремизма. Основными направлениями этой работы являются охрана учреждений, инженерное укрепление и техническая оснащенность объектов, профилактичес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кие мероприятия с сотрудниками, воспитанниками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и родителями несовершеннолетних.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незамедлительного реагирования оздоровительные организации обеспечены контактными телефонами дежурных частей, сведе</w:t>
      </w:r>
      <w:bookmarkStart w:id="1" w:name="undefined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об ответственных от территориальных отделов внутр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енних дел Российской Федерации.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 всем объектам приближены наряды наружных служб территориальных отделов внутренних дел Российской Федерации.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Проводятся дополнительные инструктажи с работниками охранных учреждений, руководителями частных охранных организа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и оздоровительных учреждений на предмет усиления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контрольно-пропускного режима, незамедлительного информирования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 выявленных фактах нарушения прав и законных интересов детей. 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учреждениях</w:t>
      </w:r>
      <w:proofErr w:type="gramEnd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отдыха детей и их оздоровления проводится контроль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за соб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людением санитарно-гигиенических и противоэпидемиологических требований, состоянием и содержанием вс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ех помещений и территории места отдыха. К работе в детских лагерях допущены медицинские работники, прошедшие аттестацию по вопросам санитарно-эпидемиологиче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ской безопасности, а также навыкам оказания медицинской помощи в неотложных ситуациях, персонал прошедший медицинские осмотры.  </w:t>
      </w:r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 реестре организаций отдыха и оздоровления детей автономного округа, организаций отдыха имеющих предписание органов государств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енного пожарного надзора не заключивших договора на техническое обслуживание систем противопожарной защиты</w:t>
      </w:r>
      <w:r w:rsidR="005E62F5">
        <w:rPr>
          <w:rFonts w:ascii="Times New Roman" w:eastAsia="Times New Roman" w:hAnsi="Times New Roman"/>
          <w:sz w:val="28"/>
          <w:szCs w:val="28"/>
          <w:lang w:eastAsia="ru-RU"/>
        </w:rPr>
        <w:t xml:space="preserve">, и не обеспечивших 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их испытаний на работоспособность не значится.</w:t>
      </w:r>
      <w:proofErr w:type="gramEnd"/>
    </w:p>
    <w:p w:rsidR="00112971" w:rsidRDefault="00837155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Во всех организациях отдыха детей и их оздоровления проведены соответст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вующие обследования электросетей, кабелей и электрооборудования на работоспособность и назначены ответственные лица за их систематическое обследование.</w:t>
      </w:r>
    </w:p>
    <w:p w:rsidR="00112971" w:rsidRDefault="00112971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12971" w:rsidSect="005E62F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155" w:rsidRDefault="00837155">
      <w:pPr>
        <w:spacing w:after="0" w:line="240" w:lineRule="auto"/>
      </w:pPr>
      <w:r>
        <w:separator/>
      </w:r>
    </w:p>
  </w:endnote>
  <w:endnote w:type="continuationSeparator" w:id="0">
    <w:p w:rsidR="00837155" w:rsidRDefault="00837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stem-ui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155" w:rsidRDefault="00837155">
      <w:pPr>
        <w:spacing w:after="0" w:line="240" w:lineRule="auto"/>
      </w:pPr>
      <w:r>
        <w:separator/>
      </w:r>
    </w:p>
  </w:footnote>
  <w:footnote w:type="continuationSeparator" w:id="0">
    <w:p w:rsidR="00837155" w:rsidRDefault="00837155">
      <w:pPr>
        <w:spacing w:after="0" w:line="240" w:lineRule="auto"/>
      </w:pPr>
      <w:r>
        <w:continuationSeparator/>
      </w:r>
    </w:p>
  </w:footnote>
  <w:footnote w:id="1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«Об утверждении требований </w:t>
      </w:r>
      <w:r>
        <w:t>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</w:t>
      </w:r>
      <w:r>
        <w:t>рриторий)»</w:t>
      </w:r>
    </w:p>
  </w:footnote>
  <w:footnote w:id="2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«Об утверждении требований к антитеррористической защищенности объектов (территорий) Министерства науки и высшего образования Российской Федерации, его территориальных органов и подведомственных ему организаций, объектов (территорий), относящи</w:t>
      </w:r>
      <w:r>
        <w:t xml:space="preserve">хся к сфере деятельности Министерства науки и высшего образования Российской Федерации, формы паспорта безопасности этих объектов (территорий) и признании </w:t>
      </w:r>
      <w:proofErr w:type="gramStart"/>
      <w:r>
        <w:t>утратившими</w:t>
      </w:r>
      <w:proofErr w:type="gramEnd"/>
      <w:r>
        <w:t xml:space="preserve"> силу некоторых актов Правительства Российской Федерации»</w:t>
      </w:r>
    </w:p>
  </w:footnote>
  <w:footnote w:id="3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Об организации подготовки орга</w:t>
      </w:r>
      <w:r>
        <w:t>низаций, осуществляющих образовательную деятельность, к началу нового 2023/2024 учебного года подведомственных Департаменту образования и науки Ханты-Мансийского автономного округа – Югры</w:t>
      </w:r>
    </w:p>
  </w:footnote>
  <w:footnote w:id="4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приказ Департамента от 07.10.2021 № 10-П-1355 «Об организации меро</w:t>
      </w:r>
      <w:r>
        <w:t>приятий по обеспечению антитеррористической защищенности объектов (территорий) образовательных организаций, расположенных в Ханты-Мансийском автономном округе – Югре»</w:t>
      </w:r>
    </w:p>
  </w:footnote>
  <w:footnote w:id="5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О подготовке организаций, осуществляющих образовательную деятельность на территории Ханты-Мансийского автономного округа – Югры, к началу нового 2023/2024 учебного года»</w:t>
      </w:r>
    </w:p>
  </w:footnote>
  <w:footnote w:id="6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от 05.05.2023 № 10-П-1114 «Об организации подготовки организаций, осуществляющих об</w:t>
      </w:r>
      <w:r>
        <w:t>разовательную деятельность, к началу нового 2023/2024 учебного года подведомственных Департаменту образования и науки Ханты-Мансийского автономного округа – Югры».</w:t>
      </w:r>
    </w:p>
    <w:p w:rsidR="00112971" w:rsidRDefault="00837155">
      <w:pPr>
        <w:pStyle w:val="af3"/>
        <w:jc w:val="both"/>
      </w:pPr>
      <w:r>
        <w:t>от 05.08.2022 № 10-П-1664 «О реализации комплекса мер, направленных обеспечение противопожар</w:t>
      </w:r>
      <w:r>
        <w:t>ной безопасности на объектах образовательных организаций Ханты-Мансийского автономного округа – Югры».</w:t>
      </w:r>
    </w:p>
    <w:p w:rsidR="00112971" w:rsidRDefault="00837155">
      <w:pPr>
        <w:pStyle w:val="af3"/>
        <w:jc w:val="both"/>
      </w:pPr>
      <w:r>
        <w:t>от 07.10.2021 № 10-П-1355 «Об организации мероприятий по обеспечению антитеррористической защищенности объектов (территорий) образовательных организаций,</w:t>
      </w:r>
      <w:r>
        <w:t xml:space="preserve"> расположенных в Ханты-Мансийском </w:t>
      </w:r>
      <w:proofErr w:type="gramStart"/>
      <w:r>
        <w:t>автономного</w:t>
      </w:r>
      <w:proofErr w:type="gramEnd"/>
      <w:r>
        <w:t xml:space="preserve"> округе – Югре».</w:t>
      </w:r>
    </w:p>
  </w:footnote>
  <w:footnote w:id="7">
    <w:p w:rsidR="00112971" w:rsidRDefault="00837155">
      <w:pPr>
        <w:pStyle w:val="af3"/>
        <w:jc w:val="both"/>
      </w:pPr>
      <w:r>
        <w:rPr>
          <w:rStyle w:val="af5"/>
        </w:rPr>
        <w:footnoteRef/>
      </w:r>
      <w:r>
        <w:t xml:space="preserve"> Классные часы, собрания разъяснительные беседы об административной и уголовной ответственности за совершение правонарушений и преступлений экстремистской и террористической направленности и др</w:t>
      </w:r>
      <w:r>
        <w:t>.</w:t>
      </w:r>
    </w:p>
  </w:footnote>
  <w:footnote w:id="8">
    <w:p w:rsidR="00112971" w:rsidRDefault="00837155">
      <w:pPr>
        <w:pStyle w:val="af3"/>
        <w:jc w:val="both"/>
        <w:rPr>
          <w:rFonts w:ascii="Times New Roman" w:hAnsi="Times New Roman" w:cs="Times New Roman"/>
        </w:rPr>
      </w:pPr>
      <w:r>
        <w:rPr>
          <w:rStyle w:val="af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Ухудшение межнациональных и межконфессиональных отношений.</w:t>
      </w:r>
    </w:p>
  </w:footnote>
  <w:footnote w:id="9">
    <w:p w:rsidR="00112971" w:rsidRDefault="00837155">
      <w:pPr>
        <w:pStyle w:val="af6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5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Рекомендации Министерства образования и науки Российской Федерации от 18.11.2013 № ВК-844/07 «О направлении методических рекомен</w:t>
      </w:r>
      <w:r>
        <w:rPr>
          <w:rFonts w:ascii="Times New Roman" w:hAnsi="Times New Roman" w:cs="Times New Roman"/>
          <w:sz w:val="20"/>
          <w:szCs w:val="20"/>
        </w:rPr>
        <w:t>даций по организации служб школьной медиации», от 18.12.2015 года №07-4317 «О направлении методических рекомендаций», от 26.12.2017 года №07-7657 «О направлении методических рекомендаций», от 28.04.2020 №ДГ-375/07 «О направлении методических рекомендаций».</w:t>
      </w:r>
    </w:p>
  </w:footnote>
  <w:footnote w:id="10">
    <w:p w:rsidR="00112971" w:rsidRDefault="00837155">
      <w:pPr>
        <w:pStyle w:val="af3"/>
        <w:jc w:val="both"/>
        <w:rPr>
          <w:rFonts w:ascii="Times New Roman" w:hAnsi="Times New Roman" w:cs="Times New Roman"/>
        </w:rPr>
      </w:pPr>
      <w:r>
        <w:rPr>
          <w:rStyle w:val="af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 Межведомственный приказ от 20.05.2021 № 370-р/10-П-494/109/09-ОД-96/01-09/575/108/121/08-Пр-73/42/547/06-178 «Об организации перевозок автотранспортными средствами организованных групп детей к месту проведения спортивных, оздоровительных, культурно-мас</w:t>
      </w:r>
      <w:r>
        <w:rPr>
          <w:rFonts w:ascii="Times New Roman" w:eastAsia="Calibri" w:hAnsi="Times New Roman" w:cs="Times New Roman"/>
          <w:color w:val="000000"/>
        </w:rPr>
        <w:t>совых мероприятий на территории Ханты-Мансийского автономного округа – Югры и обратно».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E684E"/>
    <w:multiLevelType w:val="hybridMultilevel"/>
    <w:tmpl w:val="A3625A5E"/>
    <w:lvl w:ilvl="0" w:tplc="35E607F8">
      <w:start w:val="1"/>
      <w:numFmt w:val="decimal"/>
      <w:lvlText w:val="%1."/>
      <w:lvlJc w:val="left"/>
    </w:lvl>
    <w:lvl w:ilvl="1" w:tplc="1D5A4FB8">
      <w:start w:val="1"/>
      <w:numFmt w:val="lowerLetter"/>
      <w:lvlText w:val="%2."/>
      <w:lvlJc w:val="left"/>
      <w:pPr>
        <w:ind w:left="1440" w:hanging="360"/>
      </w:pPr>
    </w:lvl>
    <w:lvl w:ilvl="2" w:tplc="C0F6483E">
      <w:start w:val="1"/>
      <w:numFmt w:val="lowerRoman"/>
      <w:lvlText w:val="%3."/>
      <w:lvlJc w:val="right"/>
      <w:pPr>
        <w:ind w:left="2160" w:hanging="180"/>
      </w:pPr>
    </w:lvl>
    <w:lvl w:ilvl="3" w:tplc="EF120E32">
      <w:start w:val="1"/>
      <w:numFmt w:val="decimal"/>
      <w:lvlText w:val="%4."/>
      <w:lvlJc w:val="left"/>
      <w:pPr>
        <w:ind w:left="2880" w:hanging="360"/>
      </w:pPr>
    </w:lvl>
    <w:lvl w:ilvl="4" w:tplc="F6D4BA66">
      <w:start w:val="1"/>
      <w:numFmt w:val="lowerLetter"/>
      <w:lvlText w:val="%5."/>
      <w:lvlJc w:val="left"/>
      <w:pPr>
        <w:ind w:left="3600" w:hanging="360"/>
      </w:pPr>
    </w:lvl>
    <w:lvl w:ilvl="5" w:tplc="65527DAA">
      <w:start w:val="1"/>
      <w:numFmt w:val="lowerRoman"/>
      <w:lvlText w:val="%6."/>
      <w:lvlJc w:val="right"/>
      <w:pPr>
        <w:ind w:left="4320" w:hanging="180"/>
      </w:pPr>
    </w:lvl>
    <w:lvl w:ilvl="6" w:tplc="77D82F16">
      <w:start w:val="1"/>
      <w:numFmt w:val="decimal"/>
      <w:lvlText w:val="%7."/>
      <w:lvlJc w:val="left"/>
      <w:pPr>
        <w:ind w:left="5040" w:hanging="360"/>
      </w:pPr>
    </w:lvl>
    <w:lvl w:ilvl="7" w:tplc="E6A4D514">
      <w:start w:val="1"/>
      <w:numFmt w:val="lowerLetter"/>
      <w:lvlText w:val="%8."/>
      <w:lvlJc w:val="left"/>
      <w:pPr>
        <w:ind w:left="5760" w:hanging="360"/>
      </w:pPr>
    </w:lvl>
    <w:lvl w:ilvl="8" w:tplc="D7C8D5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971"/>
    <w:rsid w:val="00112971"/>
    <w:rsid w:val="005E62F5"/>
    <w:rsid w:val="0083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footnote text"/>
    <w:basedOn w:val="a"/>
    <w:link w:val="af4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Pr>
      <w:sz w:val="20"/>
      <w:szCs w:val="20"/>
    </w:rPr>
  </w:style>
  <w:style w:type="character" w:styleId="af5">
    <w:name w:val="footnote reference"/>
    <w:link w:val="CiaeniineeI"/>
    <w:unhideWhenUsed/>
    <w:qFormat/>
    <w:rPr>
      <w:vertAlign w:val="superscript"/>
    </w:rPr>
  </w:style>
  <w:style w:type="paragraph" w:customStyle="1" w:styleId="CiaeniineeI">
    <w:name w:val="Ciae niinee I Знак"/>
    <w:basedOn w:val="a"/>
    <w:link w:val="af5"/>
    <w:pPr>
      <w:spacing w:before="120" w:line="240" w:lineRule="exact"/>
    </w:pPr>
    <w:rPr>
      <w:vertAlign w:val="superscript"/>
    </w:rPr>
  </w:style>
  <w:style w:type="character" w:customStyle="1" w:styleId="markedcontent">
    <w:name w:val="markedcontent"/>
    <w:basedOn w:val="a0"/>
  </w:style>
  <w:style w:type="paragraph" w:styleId="af6">
    <w:name w:val="No Spacing"/>
    <w:link w:val="af7"/>
    <w:uiPriority w:val="1"/>
    <w:qFormat/>
    <w:pPr>
      <w:spacing w:after="0" w:line="240" w:lineRule="auto"/>
    </w:p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af9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styleId="afa">
    <w:name w:val="Hyperlink"/>
    <w:rPr>
      <w:color w:val="0000FF"/>
      <w:u w:val="single"/>
    </w:rPr>
  </w:style>
  <w:style w:type="character" w:customStyle="1" w:styleId="af7">
    <w:name w:val="Без интервала Знак"/>
    <w:link w:val="af6"/>
    <w:uiPriority w:val="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footnote text"/>
    <w:basedOn w:val="a"/>
    <w:link w:val="af4"/>
    <w:unhideWhenUsed/>
    <w:qFormat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Pr>
      <w:sz w:val="20"/>
      <w:szCs w:val="20"/>
    </w:rPr>
  </w:style>
  <w:style w:type="character" w:styleId="af5">
    <w:name w:val="footnote reference"/>
    <w:link w:val="CiaeniineeI"/>
    <w:unhideWhenUsed/>
    <w:qFormat/>
    <w:rPr>
      <w:vertAlign w:val="superscript"/>
    </w:rPr>
  </w:style>
  <w:style w:type="paragraph" w:customStyle="1" w:styleId="CiaeniineeI">
    <w:name w:val="Ciae niinee I Знак"/>
    <w:basedOn w:val="a"/>
    <w:link w:val="af5"/>
    <w:pPr>
      <w:spacing w:before="120" w:line="240" w:lineRule="exact"/>
    </w:pPr>
    <w:rPr>
      <w:vertAlign w:val="superscript"/>
    </w:rPr>
  </w:style>
  <w:style w:type="character" w:customStyle="1" w:styleId="markedcontent">
    <w:name w:val="markedcontent"/>
    <w:basedOn w:val="a0"/>
  </w:style>
  <w:style w:type="paragraph" w:styleId="af6">
    <w:name w:val="No Spacing"/>
    <w:link w:val="af7"/>
    <w:uiPriority w:val="1"/>
    <w:qFormat/>
    <w:pPr>
      <w:spacing w:after="0" w:line="240" w:lineRule="auto"/>
    </w:p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af9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character" w:styleId="afa">
    <w:name w:val="Hyperlink"/>
    <w:rPr>
      <w:color w:val="0000FF"/>
      <w:u w:val="single"/>
    </w:rPr>
  </w:style>
  <w:style w:type="character" w:customStyle="1" w:styleId="af7">
    <w:name w:val="Без интервала Знак"/>
    <w:link w:val="af6"/>
    <w:uiPriority w:val="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518BD-D9C1-4AD0-9552-0B73AACC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5157</Words>
  <Characters>29401</Characters>
  <Application>Microsoft Office Word</Application>
  <DocSecurity>0</DocSecurity>
  <Lines>245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Суббота Юрий Александрович</dc:creator>
  <cp:lastModifiedBy>Склярова Марина Сергеевна</cp:lastModifiedBy>
  <cp:revision>2</cp:revision>
  <dcterms:created xsi:type="dcterms:W3CDTF">2023-06-27T12:11:00Z</dcterms:created>
  <dcterms:modified xsi:type="dcterms:W3CDTF">2023-06-27T12:11:00Z</dcterms:modified>
</cp:coreProperties>
</file>